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both"/>
        <w:rPr>
          <w:rFonts w:ascii="宋体" w:cs="宋体" w:eastAsia="宋体" w:hAnsi="宋体" w:hint="eastAsia"/>
          <w:b w:val="false"/>
          <w:bCs w:val="false"/>
          <w:sz w:val="52"/>
          <w:szCs w:val="52"/>
          <w:lang w:val="en-US" w:eastAsia="zh-CN"/>
        </w:rPr>
      </w:pPr>
    </w:p>
    <w:p>
      <w:pPr>
        <w:pStyle w:val="style0"/>
        <w:jc w:val="distribute"/>
        <w:rPr>
          <w:rFonts w:ascii="宋体" w:cs="宋体" w:eastAsia="宋体" w:hAnsi="宋体" w:hint="eastAsia"/>
          <w:b/>
          <w:bCs/>
          <w:sz w:val="52"/>
          <w:szCs w:val="52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52"/>
          <w:szCs w:val="52"/>
          <w:lang w:val="en-US" w:eastAsia="zh-CN"/>
        </w:rPr>
        <w:t>太阳能智能农林虫情测报仪</w:t>
      </w:r>
    </w:p>
    <w:bookmarkStart w:id="0" w:name="_GoBack"/>
    <w:bookmarkEnd w:id="0"/>
    <w:p>
      <w:pPr>
        <w:pStyle w:val="style0"/>
        <w:jc w:val="both"/>
        <w:rPr>
          <w:rFonts w:ascii="宋体" w:cs="宋体" w:eastAsia="宋体" w:hAnsi="宋体" w:hint="eastAsia"/>
          <w:b/>
          <w:bCs/>
          <w:sz w:val="52"/>
          <w:szCs w:val="52"/>
          <w:lang w:val="en-US" w:eastAsia="zh-CN"/>
        </w:rPr>
      </w:pPr>
    </w:p>
    <w:p>
      <w:pPr>
        <w:pStyle w:val="style0"/>
        <w:tabs>
          <w:tab w:val="left" w:leader="none" w:pos="6684"/>
        </w:tabs>
        <w:jc w:val="left"/>
        <w:rPr>
          <w:rFonts w:ascii="宋体" w:cs="宋体" w:eastAsia="宋体" w:hAnsi="宋体" w:hint="eastAsia"/>
          <w:b/>
          <w:bCs/>
          <w:sz w:val="52"/>
          <w:szCs w:val="52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52"/>
          <w:szCs w:val="52"/>
          <w:lang w:val="en-US" w:eastAsia="zh-CN"/>
        </w:rPr>
        <w:tab/>
      </w:r>
    </w:p>
    <w:p>
      <w:pPr>
        <w:pStyle w:val="style0"/>
        <w:jc w:val="center"/>
        <w:rPr>
          <w:rFonts w:ascii="宋体" w:cs="宋体" w:eastAsia="宋体" w:hAnsi="宋体" w:hint="eastAsia"/>
          <w:b/>
          <w:bCs/>
          <w:sz w:val="72"/>
          <w:szCs w:val="72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72"/>
          <w:szCs w:val="72"/>
          <w:lang w:val="en-US" w:eastAsia="zh-CN"/>
        </w:rPr>
        <w:t>说</w:t>
      </w:r>
    </w:p>
    <w:p>
      <w:pPr>
        <w:pStyle w:val="style0"/>
        <w:jc w:val="center"/>
        <w:rPr>
          <w:rFonts w:ascii="宋体" w:cs="宋体" w:eastAsia="宋体" w:hAnsi="宋体" w:hint="eastAsia"/>
          <w:b/>
          <w:bCs/>
          <w:sz w:val="72"/>
          <w:szCs w:val="72"/>
          <w:lang w:val="en-US"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b/>
          <w:bCs/>
          <w:sz w:val="72"/>
          <w:szCs w:val="72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72"/>
          <w:szCs w:val="72"/>
          <w:lang w:val="en-US" w:eastAsia="zh-CN"/>
        </w:rPr>
        <w:t>明</w:t>
      </w:r>
    </w:p>
    <w:p>
      <w:pPr>
        <w:pStyle w:val="style0"/>
        <w:jc w:val="center"/>
        <w:rPr>
          <w:rFonts w:ascii="宋体" w:cs="宋体" w:eastAsia="宋体" w:hAnsi="宋体" w:hint="eastAsia"/>
          <w:b/>
          <w:bCs/>
          <w:sz w:val="72"/>
          <w:szCs w:val="72"/>
          <w:lang w:val="en-US"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b/>
          <w:bCs/>
          <w:sz w:val="28"/>
          <w:szCs w:val="36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72"/>
          <w:szCs w:val="72"/>
          <w:lang w:val="en-US" w:eastAsia="zh-CN"/>
        </w:rPr>
        <w:t>书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lang w:val="en-US"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b/>
          <w:bCs/>
          <w:sz w:val="48"/>
          <w:szCs w:val="56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44"/>
          <w:szCs w:val="52"/>
          <w:lang w:val="en-US" w:eastAsia="zh-CN"/>
        </w:rPr>
        <w:t>产品型号：</w:t>
      </w:r>
      <w:r>
        <w:rPr>
          <w:rFonts w:ascii="宋体" w:cs="宋体" w:eastAsia="宋体" w:hAnsi="宋体" w:hint="eastAsia"/>
          <w:b/>
          <w:bCs/>
          <w:sz w:val="48"/>
          <w:szCs w:val="56"/>
          <w:lang w:val="en-US" w:eastAsia="zh-CN"/>
        </w:rPr>
        <w:t>NJB-V5</w:t>
      </w:r>
    </w:p>
    <w:p>
      <w:pPr>
        <w:pStyle w:val="style0"/>
        <w:jc w:val="center"/>
        <w:rPr>
          <w:rFonts w:ascii="宋体" w:cs="宋体" w:eastAsia="宋体" w:hAnsi="宋体" w:hint="eastAsia"/>
          <w:b w:val="false"/>
          <w:bCs w:val="false"/>
          <w:sz w:val="48"/>
          <w:szCs w:val="56"/>
          <w:lang w:val="en-US" w:eastAsia="zh-CN"/>
        </w:rPr>
      </w:pPr>
    </w:p>
    <w:p>
      <w:pPr>
        <w:pStyle w:val="style0"/>
        <w:jc w:val="left"/>
        <w:rPr>
          <w:rFonts w:ascii="宋体" w:cs="宋体" w:eastAsia="宋体" w:hAnsi="宋体" w:hint="eastAsia"/>
          <w:b w:val="false"/>
          <w:bCs w:val="false"/>
          <w:sz w:val="36"/>
          <w:szCs w:val="44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36"/>
          <w:szCs w:val="44"/>
          <w:lang w:val="en-US" w:eastAsia="zh-CN"/>
        </w:rPr>
        <w:t>说明书编号：NJB-V5-01    出版日期：2020年6月</w:t>
      </w:r>
    </w:p>
    <w:p>
      <w:pPr>
        <w:pStyle w:val="style0"/>
        <w:jc w:val="left"/>
        <w:rPr>
          <w:rFonts w:ascii="宋体" w:cs="宋体" w:eastAsia="宋体" w:hAnsi="宋体" w:hint="eastAsia"/>
          <w:b w:val="false"/>
          <w:bCs w:val="false"/>
          <w:sz w:val="22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2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2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2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2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2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概述：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ind w:firstLine="560" w:firstLineChars="200"/>
        <w:textAlignment w:val="auto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本使用说明书是</w:t>
      </w: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太阳能智能虫情测报仪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的组成部分，为了使用户更快更好的掌握使用方法，并能安全使用，请用户在安装前务必认真阅读本使用说明书，并按照本使用说明书的要求进行安全操作。如用户对说明有不理解之处，请与我公司联系。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ind w:firstLine="560" w:firstLineChars="200"/>
        <w:textAlignment w:val="auto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在本使用说明书中，该安全警戒符号提示重要的安全信息。见到该符号时，应警戒可能产生的伤害，仔细阅读该符号下面的信息，并告知其他操作者。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drawing>
          <wp:inline distL="0" distT="0" distB="0" distR="0">
            <wp:extent cx="1587500" cy="1153795"/>
            <wp:effectExtent l="0" t="0" r="12700" b="8255"/>
            <wp:docPr id="1026" name="图片 5" descr="56a4dd71N68a7f98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87500" cy="11537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drawing>
          <wp:inline distL="0" distT="0" distB="0" distR="0">
            <wp:extent cx="2874645" cy="1397000"/>
            <wp:effectExtent l="0" t="0" r="1905" b="12700"/>
            <wp:docPr id="1027" name="图片 4" descr="413txCUowOL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74645" cy="1397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机器的预期用途：</w:t>
      </w:r>
    </w:p>
    <w:p>
      <w:pPr>
        <w:pStyle w:val="style0"/>
        <w:ind w:firstLine="560" w:firstLineChars="20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本款虫情测报仪，适用于农业、林业及其它行业有害昆虫监测；适用于需要采集昆虫标本的行业。本款虫情测报仪利用昆虫的趋光性和趋信息素的特点，采取光诱和性诱来吸引昆虫，采取电网形式击落昆虫，昆虫落入烘烤装置进行烘烤，烘烤后的昆虫标本在摄像机下进行拍照，拍照的图片经数据网络自动上传至服务器内。服务器内AI计算软件自动对昆虫进行种类的识别和数量的统计，并生成汇总表格，用户只需在登录虫情测报仪平台系统，即可查询到昆虫统计信息和原始拍照图片。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目</w:t>
      </w: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 xml:space="preserve">   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录</w:t>
      </w:r>
    </w:p>
    <w:p>
      <w:pPr>
        <w:pStyle w:val="style0"/>
        <w:jc w:val="center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 xml:space="preserve">安全注意事项     </w:t>
      </w: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操作说明</w:t>
      </w: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附件和备件</w:t>
      </w: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维修保养说明</w:t>
      </w: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存放</w:t>
      </w: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交货、验收、运输、组装和安装</w:t>
      </w: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技术规格</w:t>
      </w:r>
    </w:p>
    <w:p>
      <w:pPr>
        <w:pStyle w:val="style0"/>
        <w:numPr>
          <w:ilvl w:val="0"/>
          <w:numId w:val="1"/>
        </w:numPr>
        <w:ind w:left="0" w:leftChars="0" w:firstLine="402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零件目录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 xml:space="preserve">第一章 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安全注意事项</w:t>
      </w:r>
    </w:p>
    <w:p>
      <w:pPr>
        <w:pStyle w:val="style0"/>
        <w:numPr>
          <w:ilvl w:val="0"/>
          <w:numId w:val="2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用户在安装及使用本产品前，请务必详细阅读本说明书。</w:t>
      </w:r>
    </w:p>
    <w:p>
      <w:pPr>
        <w:pStyle w:val="style0"/>
        <w:numPr>
          <w:ilvl w:val="0"/>
          <w:numId w:val="2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认真执行本产品的使用及保养规定和要求。</w:t>
      </w:r>
    </w:p>
    <w:p>
      <w:pPr>
        <w:pStyle w:val="style0"/>
        <w:numPr>
          <w:ilvl w:val="0"/>
          <w:numId w:val="2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设备运行中，请勿将身体任何部位触碰到击虫电网上，以免造成触电。</w:t>
      </w:r>
    </w:p>
    <w:p>
      <w:pPr>
        <w:pStyle w:val="style0"/>
        <w:numPr>
          <w:ilvl w:val="0"/>
          <w:numId w:val="2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设备运行中。请勿将身体任何部位触碰到虫体烘烤装置上，以免烫伤。</w:t>
      </w:r>
    </w:p>
    <w:p>
      <w:pPr>
        <w:pStyle w:val="style0"/>
        <w:widowControl w:val="false"/>
        <w:numPr>
          <w:ilvl w:val="0"/>
          <w:numId w:val="0"/>
        </w:numPr>
        <w:jc w:val="both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drawing>
          <wp:inline distL="0" distT="0" distB="0" distR="0">
            <wp:extent cx="2440305" cy="1773555"/>
            <wp:effectExtent l="0" t="0" r="17145" b="17145"/>
            <wp:docPr id="1028" name="图片 12" descr="56a4dd71N68a7f98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40305" cy="17735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numPr>
          <w:ilvl w:val="0"/>
          <w:numId w:val="0"/>
        </w:numPr>
        <w:jc w:val="both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drawing>
          <wp:inline distL="0" distT="0" distB="0" distR="0">
            <wp:extent cx="3681095" cy="1788794"/>
            <wp:effectExtent l="0" t="0" r="14605" b="1905"/>
            <wp:docPr id="1029" name="图片 11" descr="413txCUowOL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81095" cy="1788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numPr>
          <w:ilvl w:val="0"/>
          <w:numId w:val="0"/>
        </w:numPr>
        <w:jc w:val="both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widowControl w:val="false"/>
        <w:numPr>
          <w:ilvl w:val="0"/>
          <w:numId w:val="0"/>
        </w:numPr>
        <w:jc w:val="both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widowControl w:val="false"/>
        <w:numPr>
          <w:ilvl w:val="0"/>
          <w:numId w:val="0"/>
        </w:numPr>
        <w:jc w:val="both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 xml:space="preserve">第二章 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操作说明</w:t>
      </w: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一、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产品硬件功能说明：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诱虫光源：节能防水型12V9W 高效冷阴极螺旋口诱虫光源。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整机消耗功率：&lt;150W。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整机待机功率：≤5W。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诱虫光源启动性能：2s内应启动。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诱捕率：对农林飞虫的诱灭率6h应≥97%。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光控性能：当光照度在低于 300Lx时自动开启，在高于300Lx时自动关闭。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温控功能：当外界温度低于10℃时，测报仪应能自动关机。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雨控功能：下雨时自动关闭；雨停后自动开启。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防雷击装置：测报仪应有防雷击措施，接地装置和接地标志之间电阻不大于0.1Ω。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收集虫体功能：采用低压电网绞虫装置电击收集虫体，并且360°正反旋转自洁清虫。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自动滤水功能:采用</w:t>
      </w: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坡渠排水装置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，使雨水与虫体自动分离，保证虫体完好无损。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虫体拍照功能：</w:t>
      </w: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采用履带输虫装置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，平稳不重叠的将虫体输送到监控相机下，自动拍照，虫体成像清晰明了，虫体不堆叠，拍照后的虫体自动跌落到收虫盒中。</w:t>
      </w:r>
    </w:p>
    <w:p>
      <w:pPr>
        <w:pStyle w:val="style0"/>
        <w:numPr>
          <w:ilvl w:val="0"/>
          <w:numId w:val="3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 xml:space="preserve">拍摄性能：采用4G远程拍照工业级高清数码摄像机，多种图像分辨率可选。500万(2560x1920)，300万(2048x1536)，200万(1600x1200)，100万(1280x960)，30万(640x480)，QVGA(320x240)可选。 </w:t>
      </w: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二、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产品软件平台</w:t>
      </w: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控制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功能说明：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平台配备训练好的卷积神经网络，能有效识别害虫数达300种。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通过卷积神经网络技术，对上传的图像智能监测。有虫无虫图像自动区分，有虫图像自动识别种类并计数。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自动从上传的图像中识别出设备设置的靶标害虫及期间累计数量；检测到的靶标害虫可追溯至发现的测报灯及原始图像。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通过拍照识别或智能监测出的害虫结果可直接跳转至害虫知识库，知识库有专家精心整理的近800种害虫防治措施。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系统按国家、省、市、县四级规划账户权限及设备监测数据存储，设备采集数据及监测数据自动归集至对应组织机构。实现上级可看本级及下级的所有设备监测数据需求。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数据按照月份、年份分别进行统计，图表化展现物联网数据；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通过 GIS 的方式展示设备的基本信息、分布情况和运行状态；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平台采用云接入方式，用户无需采购服务器及配置带宽，平台存储原始图片保持1年，识别计数等保存10年以上。</w:t>
      </w:r>
    </w:p>
    <w:p>
      <w:pPr>
        <w:pStyle w:val="style0"/>
        <w:numPr>
          <w:ilvl w:val="0"/>
          <w:numId w:val="4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用户PC与手机无需安装软件，移动端与PC端自动适配，界面友好易用。</w:t>
      </w:r>
    </w:p>
    <w:p>
      <w:pPr>
        <w:pStyle w:val="style0"/>
        <w:numPr>
          <w:ilvl w:val="0"/>
          <w:numId w:val="0"/>
        </w:numPr>
        <w:ind w:left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numPr>
          <w:ilvl w:val="0"/>
          <w:numId w:val="0"/>
        </w:numPr>
        <w:ind w:left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三、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软件平台用户操作说明</w:t>
      </w:r>
    </w:p>
    <w:p>
      <w:pPr>
        <w:pStyle w:val="style0"/>
        <w:numPr>
          <w:ilvl w:val="0"/>
          <w:numId w:val="5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本文档主要使用人员是用户方管理人员、用户方工作人员等。</w:t>
      </w:r>
    </w:p>
    <w:p>
      <w:pPr>
        <w:pStyle w:val="style0"/>
        <w:numPr>
          <w:ilvl w:val="0"/>
          <w:numId w:val="5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用户在系统内是按部门进行划分管理的，部门又按组织机构层级管理。</w:t>
      </w:r>
    </w:p>
    <w:p>
      <w:pPr>
        <w:pStyle w:val="style0"/>
        <w:numPr>
          <w:ilvl w:val="0"/>
          <w:numId w:val="5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用户权限按两个层面进行设计：</w:t>
      </w:r>
    </w:p>
    <w:p>
      <w:pPr>
        <w:pStyle w:val="style0"/>
        <w:numPr>
          <w:ilvl w:val="0"/>
          <w:numId w:val="6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上级部门可查看下级部门的设备及数据</w:t>
      </w: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。</w:t>
      </w:r>
    </w:p>
    <w:p>
      <w:pPr>
        <w:pStyle w:val="style0"/>
        <w:numPr>
          <w:ilvl w:val="0"/>
          <w:numId w:val="6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用户类型分为【本级部门】、【本级及下级部门】、【本机构所有部门】三种类型进行数据权限控制</w:t>
      </w: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。</w:t>
      </w:r>
    </w:p>
    <w:p>
      <w:pPr>
        <w:pStyle w:val="style0"/>
        <w:numPr>
          <w:ilvl w:val="0"/>
          <w:numId w:val="5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平台移动端与PC端均可使用，且对移动端进行优化适配。</w:t>
      </w:r>
    </w:p>
    <w:p>
      <w:pPr>
        <w:pStyle w:val="style3"/>
        <w:numPr>
          <w:ilvl w:val="0"/>
          <w:numId w:val="0"/>
        </w:numPr>
        <w:bidi w:val="false"/>
        <w:ind w:leftChars="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四、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平台登陆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登陆地址：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fldChar w:fldCharType="begin"/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instrText xml:space="preserve"> HYPERLINK "http://ai.njb360.com/UCenter/login" </w:instrTex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fldChar w:fldCharType="separate"/>
      </w:r>
      <w:r>
        <w:rPr>
          <w:rStyle w:val="style85"/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http://ai.njb360.com/UCenter/login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fldChar w:fldCharType="end"/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登陆用户名密码：平台统一分配；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登陆页面如下：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</w:rPr>
        <w:drawing>
          <wp:inline distL="0" distT="0" distB="0" distR="0">
            <wp:extent cx="5439410" cy="2705735"/>
            <wp:effectExtent l="0" t="0" r="8890" b="18415"/>
            <wp:docPr id="1030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39410" cy="27057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宋体" w:cs="宋体" w:hAnsi="宋体" w:hint="eastAsia"/>
          <w:b w:val="false"/>
          <w:bCs w:val="false"/>
          <w:sz w:val="28"/>
          <w:szCs w:val="28"/>
          <w:lang w:eastAsia="zh-CN"/>
        </w:rPr>
      </w:pPr>
    </w:p>
    <w:p>
      <w:pPr>
        <w:pStyle w:val="style0"/>
        <w:rPr>
          <w:rFonts w:ascii="宋体" w:cs="宋体" w:hAnsi="宋体" w:hint="eastAsia"/>
          <w:b w:val="false"/>
          <w:bCs w:val="false"/>
          <w:sz w:val="28"/>
          <w:szCs w:val="28"/>
          <w:lang w:eastAsia="zh-CN"/>
        </w:rPr>
      </w:pP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登陆成功后页面：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</w:rPr>
        <w:drawing>
          <wp:inline distL="0" distT="0" distB="0" distR="0">
            <wp:extent cx="5266690" cy="2477770"/>
            <wp:effectExtent l="0" t="0" r="10160" b="17780"/>
            <wp:docPr id="1031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24777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hAnsi="宋体" w:hint="eastAsia"/>
          <w:b w:val="false"/>
          <w:bCs w:val="false"/>
          <w:sz w:val="28"/>
          <w:szCs w:val="28"/>
          <w:lang w:eastAsia="zh-CN"/>
        </w:rPr>
        <w:t>—————————————————————————————</w:t>
      </w:r>
    </w:p>
    <w:p>
      <w:pPr>
        <w:pStyle w:val="style3"/>
        <w:bidi w:val="false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五、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智能分析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按设备设置的靶标害虫，通过神经网络检测对靶标害虫识别后的数据按统计区间统计。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界面如下：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</w:rPr>
        <w:drawing>
          <wp:inline distL="0" distT="0" distB="0" distR="0">
            <wp:extent cx="5266055" cy="1488440"/>
            <wp:effectExtent l="0" t="0" r="10795" b="16510"/>
            <wp:docPr id="1032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055" cy="14884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"/>
        <w:bidi w:val="false"/>
        <w:rPr>
          <w:rFonts w:ascii="宋体" w:cs="宋体" w:hAnsi="宋体" w:hint="eastAsia"/>
          <w:b/>
          <w:bCs/>
          <w:sz w:val="28"/>
          <w:szCs w:val="28"/>
          <w:lang w:val="en-US" w:eastAsia="zh-CN"/>
        </w:rPr>
      </w:pPr>
    </w:p>
    <w:p>
      <w:pPr>
        <w:pStyle w:val="style3"/>
        <w:bidi w:val="false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六、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监测图像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监测图像是查看单台设备的区间日监测情况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</w:rPr>
        <w:drawing>
          <wp:inline distL="0" distT="0" distB="0" distR="0">
            <wp:extent cx="5274310" cy="2816225"/>
            <wp:effectExtent l="0" t="0" r="2540" b="3175"/>
            <wp:docPr id="1033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8162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3"/>
        <w:bidi w:val="false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七、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我的设备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我的设备是以地图方式展示我有权限查看的所有设备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</w:rPr>
        <w:drawing>
          <wp:inline distL="0" distT="0" distB="0" distR="0">
            <wp:extent cx="5266055" cy="2529840"/>
            <wp:effectExtent l="0" t="0" r="10795" b="3810"/>
            <wp:docPr id="1034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055" cy="25298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</w:rPr>
        <w:drawing>
          <wp:inline distL="0" distT="0" distB="0" distR="0">
            <wp:extent cx="5261610" cy="2176145"/>
            <wp:effectExtent l="0" t="0" r="15240" b="14605"/>
            <wp:docPr id="1035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1610" cy="21761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2"/>
        <w:numPr>
          <w:ilvl w:val="0"/>
          <w:numId w:val="0"/>
        </w:numPr>
        <w:bidi w:val="false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八、移动端说明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登陆，地址同pc端地址</w:t>
      </w:r>
    </w:p>
    <w:p>
      <w:pPr>
        <w:pStyle w:val="style0"/>
        <w:jc w:val="center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</w:rPr>
        <w:drawing>
          <wp:inline distL="0" distT="0" distB="0" distR="0">
            <wp:extent cx="2724150" cy="3589655"/>
            <wp:effectExtent l="0" t="0" r="0" b="10795"/>
            <wp:docPr id="103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24150" cy="35896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2"/>
        <w:numPr>
          <w:ilvl w:val="0"/>
          <w:numId w:val="0"/>
        </w:numPr>
        <w:bidi w:val="false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九、补充说明</w:t>
      </w:r>
    </w:p>
    <w:p>
      <w:pPr>
        <w:pStyle w:val="style0"/>
        <w:numPr>
          <w:ilvl w:val="0"/>
          <w:numId w:val="7"/>
        </w:numPr>
        <w:ind w:left="420" w:leftChars="0" w:hanging="420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移动端专门进行了移动端优化适配，使用也比较简单。</w:t>
      </w:r>
    </w:p>
    <w:p>
      <w:pPr>
        <w:pStyle w:val="style0"/>
        <w:rPr>
          <w:rFonts w:ascii="宋体" w:cs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 xml:space="preserve"> </w:t>
      </w: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>第三章</w:t>
      </w: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附件和备件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产品在出厂时配备了2只专用诱虫灯，请勿使用其他光源进行使用，可能会烧坏光源或达不到诱虫效果。</w:t>
      </w: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 xml:space="preserve">第四章 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维修保养说明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一、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故障与排除</w:t>
      </w:r>
    </w:p>
    <w:tbl>
      <w:tblPr>
        <w:tblStyle w:val="style154"/>
        <w:tblW w:w="852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常见故障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排除及维修方法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设备夜晚不能自动开机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检查设备安装地点是否有路灯或其他强光照明，可能会干扰设备光控功能工作。如有上述情况请移除干扰光源；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温控控制，气温低于10度以下时，设备不会开机；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雨控控制，下雨时，设备不会开机；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蓄电池缺电，蓄电池低于11.1V时，会启动保护功能。如有以上情况请保持太阳能充电状态；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检查开关是否开启；</w:t>
            </w:r>
          </w:p>
          <w:p>
            <w:pPr>
              <w:pStyle w:val="style0"/>
              <w:numPr>
                <w:ilvl w:val="0"/>
                <w:numId w:val="0"/>
              </w:numPr>
              <w:ind w:left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诱虫光源不亮，有高压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更换诱虫光源；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灯管亮，无高压或捕杀虫少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电网上粘虫太多，清理电网上的虫体；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高压电路板故障，更换高压电路板；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电网不能自动清虫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高压电网笼不旋转，更换旋转电机；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清虫刷失效，调整清理刷的角度；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蓄电池电量不足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太阳能板被树木或其它物体遮挡，导致充电不足。如有以上情况请移除遮挡太阳能板的物体；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软件平台无法更新图片信息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检查摄像头电源线路和天线是否接通；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检查设备安装地通讯是否畅通；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检查设备传输物联网卡是否停机；</w:t>
            </w:r>
          </w:p>
          <w:p>
            <w:pPr>
              <w:pStyle w:val="style0"/>
              <w:numPr>
                <w:ilvl w:val="0"/>
                <w:numId w:val="8"/>
              </w:numPr>
              <w:ind w:left="420" w:leftChars="0" w:hanging="420" w:firstLineChars="0"/>
              <w:jc w:val="both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检查设备是否正常开机运行；</w:t>
            </w:r>
          </w:p>
        </w:tc>
      </w:tr>
    </w:tbl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hAnsi="宋体" w:hint="eastAsia"/>
          <w:b w:val="false"/>
          <w:bCs w:val="false"/>
          <w:sz w:val="28"/>
          <w:szCs w:val="28"/>
          <w:lang w:val="en-US" w:eastAsia="zh-CN"/>
        </w:rPr>
        <w:t>二、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保养说明</w:t>
      </w:r>
    </w:p>
    <w:tbl>
      <w:tblPr>
        <w:tblStyle w:val="style154"/>
        <w:tblW w:w="852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部件名称</w:t>
            </w:r>
          </w:p>
        </w:tc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保养内容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太阳能电池板</w:t>
            </w:r>
          </w:p>
        </w:tc>
        <w:tc>
          <w:tcPr>
            <w:tcW w:w="426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每年清理2次太阳能板上的灰尘和污垢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接虫箱</w:t>
            </w:r>
          </w:p>
        </w:tc>
        <w:tc>
          <w:tcPr>
            <w:tcW w:w="426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每月清理1次接虫盒内的虫骸</w:t>
            </w:r>
          </w:p>
        </w:tc>
      </w:tr>
      <w:tr>
        <w:tblPrEx/>
        <w:trPr/>
        <w:tc>
          <w:tcPr>
            <w:tcW w:w="4261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摄像头</w:t>
            </w:r>
          </w:p>
        </w:tc>
        <w:tc>
          <w:tcPr>
            <w:tcW w:w="426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每月检查1次摄像头前是否有蜘蛛网或其它遮挡物</w:t>
            </w:r>
          </w:p>
        </w:tc>
      </w:tr>
    </w:tbl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 xml:space="preserve">第五章 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存放</w:t>
      </w:r>
    </w:p>
    <w:p>
      <w:pPr>
        <w:pStyle w:val="style0"/>
        <w:ind w:firstLine="560" w:firstLineChars="20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设备应存放在通风、干燥的仓库内，周围无腐蚀性气体，避免水淹、离地面15cm以上。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 xml:space="preserve">第六章  </w:t>
      </w: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交货、验收、运输、组装和安装</w:t>
      </w:r>
    </w:p>
    <w:p>
      <w:pPr>
        <w:pStyle w:val="style0"/>
        <w:numPr>
          <w:ilvl w:val="0"/>
          <w:numId w:val="9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验收</w:t>
      </w:r>
    </w:p>
    <w:p>
      <w:pPr>
        <w:pStyle w:val="style0"/>
        <w:numPr>
          <w:ilvl w:val="0"/>
          <w:numId w:val="0"/>
        </w:numPr>
        <w:ind w:leftChars="0" w:firstLine="560" w:firstLineChars="20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检查主机箱外包装、配件包装是否完好，根据设备清单检查设备数量与规格是否匹配，</w:t>
      </w:r>
    </w:p>
    <w:p>
      <w:pPr>
        <w:pStyle w:val="style0"/>
        <w:numPr>
          <w:ilvl w:val="0"/>
          <w:numId w:val="9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运输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ind w:firstLine="560" w:firstLineChars="200"/>
        <w:textAlignment w:val="auto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设备运输时应按照包装印刷的放置标示进行放置和固定。</w:t>
      </w:r>
    </w:p>
    <w:p>
      <w:pPr>
        <w:pStyle w:val="style0"/>
        <w:numPr>
          <w:ilvl w:val="0"/>
          <w:numId w:val="9"/>
        </w:numPr>
        <w:ind w:left="425" w:leftChars="0" w:hanging="425" w:firstLineChars="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组装和安装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ind w:leftChars="0" w:firstLine="560" w:firstLineChars="200"/>
        <w:textAlignment w:val="auto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  <w:t>设备安装请扫描机身二维码，获取安装图文信息或安装视频教程。</w:t>
      </w: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 xml:space="preserve">第七章  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技术规格</w:t>
      </w:r>
    </w:p>
    <w:tbl>
      <w:tblPr>
        <w:tblStyle w:val="style154"/>
        <w:tblW w:w="852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产品名称：</w:t>
            </w: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太阳能智能农林虫情测报仪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产品型号：</w:t>
            </w: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BJN-V5</w:t>
            </w: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型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主机尺寸：</w:t>
            </w: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8</w:t>
            </w: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00mm×</w:t>
            </w: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800</w:t>
            </w: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mm×</w:t>
            </w: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2200mm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诱虫光源功率：12V</w:t>
            </w:r>
            <w:r>
              <w:rPr>
                <w:rFonts w:ascii="宋体" w:cs="宋体" w:eastAsia="宋体" w:hAnsi="宋体" w:hint="default"/>
                <w:b w:val="false"/>
                <w:bCs w:val="false"/>
                <w:sz w:val="28"/>
                <w:szCs w:val="28"/>
                <w:lang w:val="en-US" w:eastAsia="zh-CN"/>
              </w:rPr>
              <w:t>20</w:t>
            </w: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W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诱虫光源波段：365nm</w:t>
            </w:r>
          </w:p>
        </w:tc>
      </w:tr>
      <w:tr>
        <w:tblPrEx/>
        <w:trPr>
          <w:trHeight w:val="629" w:hRule="atLeast"/>
        </w:trPr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太阳能电池板功率：</w:t>
            </w:r>
            <w:r>
              <w:rPr>
                <w:rFonts w:ascii="宋体" w:cs="宋体" w:eastAsia="宋体" w:hAnsi="宋体" w:hint="default"/>
                <w:b w:val="false"/>
                <w:bCs w:val="false"/>
                <w:sz w:val="28"/>
                <w:szCs w:val="28"/>
                <w:lang w:val="en-US" w:eastAsia="zh-CN"/>
              </w:rPr>
              <w:t>360</w:t>
            </w: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W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蓄电池规格：12V/180AH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额定电压：DC12V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消耗功率：＜1</w:t>
            </w:r>
            <w:r>
              <w:rPr>
                <w:rFonts w:ascii="宋体" w:cs="宋体" w:eastAsia="宋体" w:hAnsi="宋体" w:hint="default"/>
                <w:b w:val="false"/>
                <w:bCs w:val="false"/>
                <w:sz w:val="28"/>
                <w:szCs w:val="28"/>
                <w:lang w:val="en-US" w:eastAsia="zh-CN"/>
              </w:rPr>
              <w:t>2</w:t>
            </w: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0W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待机功率：≤5W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产品执行标准号：GB-T 24689.1-2009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生产厂家：</w:t>
            </w: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江西农家宝网络科技股份有限公司</w:t>
            </w:r>
          </w:p>
        </w:tc>
      </w:tr>
      <w:tr>
        <w:tblPrEx/>
        <w:trPr/>
        <w:tc>
          <w:tcPr>
            <w:tcW w:w="8522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生产地址:</w:t>
            </w: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lang w:val="en-US" w:eastAsia="zh-CN"/>
              </w:rPr>
              <w:t>江西省南昌市南昌高新技术产业开发区</w:t>
            </w:r>
          </w:p>
        </w:tc>
      </w:tr>
    </w:tbl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 w:val="false"/>
          <w:bCs w:val="false"/>
          <w:sz w:val="28"/>
          <w:szCs w:val="28"/>
          <w:lang w:val="en-US" w:eastAsia="zh-CN"/>
        </w:rPr>
      </w:pPr>
    </w:p>
    <w:p>
      <w:pPr>
        <w:pStyle w:val="style0"/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</w:pPr>
      <w:r>
        <w:rPr>
          <w:rFonts w:ascii="宋体" w:cs="宋体" w:hAnsi="宋体" w:hint="eastAsia"/>
          <w:b/>
          <w:bCs/>
          <w:sz w:val="28"/>
          <w:szCs w:val="28"/>
          <w:lang w:val="en-US" w:eastAsia="zh-CN"/>
        </w:rPr>
        <w:t xml:space="preserve">第八章 </w:t>
      </w:r>
      <w:r>
        <w:rPr>
          <w:rFonts w:ascii="宋体" w:cs="宋体" w:eastAsia="宋体" w:hAnsi="宋体" w:hint="eastAsia"/>
          <w:b/>
          <w:bCs/>
          <w:sz w:val="28"/>
          <w:szCs w:val="28"/>
          <w:lang w:val="en-US" w:eastAsia="zh-CN"/>
        </w:rPr>
        <w:t>产品零件目录</w:t>
      </w:r>
    </w:p>
    <w:tbl>
      <w:tblPr>
        <w:tblStyle w:val="style154"/>
        <w:tblW w:w="852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rPr/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名称</w:t>
            </w:r>
          </w:p>
        </w:tc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规格/型号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/>
        <w:trPr/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测报仪主机</w:t>
            </w:r>
          </w:p>
        </w:tc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NJB-V5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1台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/>
        <w:trPr/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蓄电池</w:t>
            </w:r>
          </w:p>
        </w:tc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12V/90AH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2只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/>
        <w:trPr/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太阳能电池板</w:t>
            </w:r>
          </w:p>
        </w:tc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单晶/120W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2块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/>
        <w:trPr/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风速传感器</w:t>
            </w:r>
          </w:p>
        </w:tc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/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1台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/>
        <w:trPr/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温湿度传感器</w:t>
            </w:r>
          </w:p>
        </w:tc>
        <w:tc>
          <w:tcPr>
            <w:tcW w:w="2130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/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  <w:t>1台</w:t>
            </w:r>
          </w:p>
        </w:tc>
        <w:tc>
          <w:tcPr>
            <w:tcW w:w="2131" w:type="dxa"/>
            <w:tcBorders/>
          </w:tcPr>
          <w:p>
            <w:pPr>
              <w:pStyle w:val="style0"/>
              <w:rPr>
                <w:rFonts w:ascii="宋体" w:cs="宋体" w:eastAsia="宋体" w:hAnsi="宋体" w:hint="eastAsia"/>
                <w:b w:val="false"/>
                <w:bCs w:val="false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style0"/>
        <w:rPr>
          <w:rFonts w:ascii="宋体" w:cs="宋体" w:eastAsia="宋体" w:hAnsi="宋体" w:hint="eastAsia"/>
          <w:b w:val="false"/>
          <w:bCs w:val="false"/>
          <w:sz w:val="22"/>
          <w:szCs w:val="28"/>
          <w:lang w:val="en-US" w:eastAsia="zh-CN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9A197437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00000001"/>
    <w:multiLevelType w:val="singleLevel"/>
    <w:tmpl w:val="A7F76B8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00000002"/>
    <w:multiLevelType w:val="singleLevel"/>
    <w:tmpl w:val="B2C3DFF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00000003"/>
    <w:multiLevelType w:val="singleLevel"/>
    <w:tmpl w:val="C634578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00000004"/>
    <w:multiLevelType w:val="singleLevel"/>
    <w:tmpl w:val="D34A61B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00000005"/>
    <w:multiLevelType w:val="singleLevel"/>
    <w:tmpl w:val="103445B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00000006"/>
    <w:multiLevelType w:val="multilevel"/>
    <w:tmpl w:val="1D1B80C5"/>
    <w:lvl w:ilvl="0">
      <w:start w:val="1"/>
      <w:numFmt w:val="chineseCounting"/>
      <w:suff w:val="nothing"/>
      <w:lvlText w:val="第%1章 "/>
      <w:lvlJc w:val="left"/>
      <w:pPr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abstractNum w:abstractNumId="7">
    <w:nsid w:val="00000007"/>
    <w:multiLevelType w:val="singleLevel"/>
    <w:tmpl w:val="397E111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00000008"/>
    <w:multiLevelType w:val="singleLevel"/>
    <w:tmpl w:val="74C025E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paragraph" w:styleId="style2">
    <w:name w:val="heading 2"/>
    <w:basedOn w:val="style0"/>
    <w:next w:val="style0"/>
    <w:qFormat/>
    <w:uiPriority w:val="0"/>
    <w:pPr>
      <w:keepNext/>
      <w:keepLines/>
      <w:spacing w:before="260" w:beforeAutospacing="false" w:after="260" w:afterAutospacing="false" w:lineRule="auto" w:line="413"/>
      <w:outlineLvl w:val="1"/>
    </w:pPr>
    <w:rPr>
      <w:rFonts w:ascii="Arial" w:eastAsia="黑体" w:hAnsi="Arial"/>
      <w:b/>
      <w:sz w:val="32"/>
    </w:rPr>
  </w:style>
  <w:style w:type="paragraph" w:styleId="style3">
    <w:name w:val="heading 3"/>
    <w:basedOn w:val="style0"/>
    <w:next w:val="style0"/>
    <w:qFormat/>
    <w:uiPriority w:val="0"/>
    <w:pPr>
      <w:keepNext/>
      <w:keepLines/>
      <w:spacing w:before="260" w:beforeAutospacing="false" w:after="260" w:afterAutospacing="false" w:lineRule="auto" w:line="413"/>
      <w:outlineLvl w:val="2"/>
    </w:pPr>
    <w:rPr>
      <w:b/>
      <w:sz w:val="32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6">
    <w:name w:val="Body Text"/>
    <w:basedOn w:val="style0"/>
    <w:next w:val="style66"/>
    <w:qFormat/>
    <w:uiPriority w:val="1"/>
    <w:pPr/>
    <w:rPr>
      <w:rFonts w:ascii="宋体" w:cs="宋体" w:eastAsia="宋体" w:hAnsi="宋体"/>
      <w:sz w:val="21"/>
      <w:szCs w:val="21"/>
      <w:lang w:val="zh-CN" w:bidi="zh-CN" w:eastAsia="zh-CN"/>
    </w:rPr>
  </w:style>
  <w:style w:type="table" w:styleId="style154">
    <w:name w:val="Table Grid"/>
    <w:basedOn w:val="style105"/>
    <w:next w:val="style154"/>
    <w:qFormat/>
    <w:uiPriority w:val="0"/>
    <w:pPr>
      <w:widowControl w:val="false"/>
      <w:jc w:val="both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</w:tblPr>
    <w:tcPr>
      <w:tcBorders/>
    </w:tcPr>
  </w:style>
  <w:style w:type="character" w:styleId="style85">
    <w:name w:val="Hyperlink"/>
    <w:basedOn w:val="style65"/>
    <w:next w:val="style85"/>
    <w:qFormat/>
    <w:uiPriority w:val="0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8.pn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7.png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Words>2660</Words>
  <Pages>1</Pages>
  <Characters>2929</Characters>
  <Application>WPS Office</Application>
  <DocSecurity>0</DocSecurity>
  <Paragraphs>261</Paragraphs>
  <ScaleCrop>false</ScaleCrop>
  <LinksUpToDate>false</LinksUpToDate>
  <CharactersWithSpaces>2958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2019-05-15T00:39:00Z</dcterms:created>
  <dc:creator>邂逅秋天</dc:creator>
  <lastModifiedBy>HWI-AL00</lastModifiedBy>
  <lastPrinted>2020-07-13T00:53:02Z</lastPrinted>
  <dcterms:modified xsi:type="dcterms:W3CDTF">2020-09-02T04:58:30Z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2052-11.1.0.8931</vt:lpwstr>
  </property>
</Properties>
</file>